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0E35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системе  оплаты труда работников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БДОУ </w:t>
      </w:r>
      <w:r w:rsidRPr="007D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 «</w:t>
      </w:r>
      <w:proofErr w:type="spellStart"/>
      <w:r w:rsidRPr="007D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Золотинка</w:t>
      </w:r>
      <w:proofErr w:type="spellEnd"/>
      <w:r w:rsidRPr="007D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Default="00C974C5" w:rsidP="00C974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Pr="007D56F8" w:rsidRDefault="00C974C5" w:rsidP="00C974C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Pr="007D56F8" w:rsidRDefault="00C974C5" w:rsidP="00C974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C5" w:rsidRPr="000E3594" w:rsidRDefault="00C974C5" w:rsidP="00C974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5" w:rsidRPr="006143CB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974C5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РАСПРЕДЕЛЕНИЮ</w:t>
      </w:r>
      <w:r w:rsidRPr="0061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СТИМУЛИРУЮЩЕЙ ЧАСТИ ФОНДА ОПЛАТЫ ТРУДА </w:t>
      </w:r>
    </w:p>
    <w:p w:rsidR="00C974C5" w:rsidRPr="006143CB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БЮДЖЕТНОГОДОШКОЛЬНОГО ОБРАЗОВАТЕЛЬНОГО УЧРЕЖДЕНИЯ ДЕТСКИЙ САД «ЗОЛОТИНКА»</w:t>
      </w:r>
    </w:p>
    <w:p w:rsidR="00C974C5" w:rsidRPr="00827BB1" w:rsidRDefault="00C974C5" w:rsidP="00C9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Pr="008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</w:t>
      </w:r>
      <w:proofErr w:type="spellStart"/>
      <w:r w:rsidRPr="008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Золотинка</w:t>
      </w:r>
      <w:proofErr w:type="spellEnd"/>
      <w:r w:rsidRPr="008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D51AB2" w:rsidRDefault="00FC19DF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Default="00C974C5"/>
    <w:p w:rsidR="00C974C5" w:rsidRPr="00C974C5" w:rsidRDefault="00ED19C9" w:rsidP="00C974C5">
      <w:pPr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C974C5" w:rsidRPr="00C974C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974C5" w:rsidRDefault="00C974C5" w:rsidP="00C974C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4C5" w:rsidRPr="00FC19DF" w:rsidRDefault="00FC19DF" w:rsidP="00FC19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 xml:space="preserve">Настоящее «Положение о Комиссии по распределению стимулирующих выплат  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педагогическим 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 xml:space="preserve">работникам Муниципального бюджетного дошкольного образовательного учреждения 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>д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 xml:space="preserve">етский сад 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C974C5" w:rsidRPr="00FC19DF">
        <w:rPr>
          <w:rFonts w:ascii="Times New Roman" w:eastAsia="Calibri" w:hAnsi="Times New Roman" w:cs="Times New Roman"/>
          <w:sz w:val="26"/>
          <w:szCs w:val="26"/>
        </w:rPr>
        <w:t>Золотинка</w:t>
      </w:r>
      <w:proofErr w:type="spellEnd"/>
      <w:r w:rsidR="00A535DD" w:rsidRPr="00FC19DF">
        <w:rPr>
          <w:rFonts w:ascii="Times New Roman" w:eastAsia="Calibri" w:hAnsi="Times New Roman" w:cs="Times New Roman"/>
          <w:sz w:val="26"/>
          <w:szCs w:val="26"/>
        </w:rPr>
        <w:t>»</w:t>
      </w:r>
      <w:r w:rsidR="00C974C5" w:rsidRPr="00FC19DF">
        <w:rPr>
          <w:rFonts w:ascii="Times New Roman" w:eastAsia="Calibri" w:hAnsi="Times New Roman" w:cs="Times New Roman"/>
          <w:sz w:val="26"/>
          <w:szCs w:val="26"/>
        </w:rPr>
        <w:t xml:space="preserve"> (далее - Положение),  разработано в соответствии Постановлением Администрации МО «Иволгинский район»№ 825 от 27 сентября 2018г. «Об утверждении Положения «О системе оплаты труда работников муниципальных образовательных организаций, подведомственных РУО МО «Иволгинский </w:t>
      </w:r>
      <w:proofErr w:type="spellStart"/>
      <w:r w:rsidR="00C974C5" w:rsidRPr="00FC19DF">
        <w:rPr>
          <w:rFonts w:ascii="Times New Roman" w:eastAsia="Calibri" w:hAnsi="Times New Roman" w:cs="Times New Roman"/>
          <w:sz w:val="26"/>
          <w:szCs w:val="26"/>
        </w:rPr>
        <w:t>район»</w:t>
      </w:r>
      <w:proofErr w:type="gramStart"/>
      <w:r w:rsidR="00A535DD" w:rsidRPr="00FC19DF">
        <w:rPr>
          <w:rFonts w:ascii="Times New Roman" w:eastAsia="Calibri" w:hAnsi="Times New Roman" w:cs="Times New Roman"/>
          <w:sz w:val="26"/>
          <w:szCs w:val="26"/>
        </w:rPr>
        <w:t>.в</w:t>
      </w:r>
      <w:proofErr w:type="spellEnd"/>
      <w:proofErr w:type="gramEnd"/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 своей работе Комиссия руководствуется Трудовым кодексом Российской Федерации, Правилам внутреннего трудового распорядка ДОУ.</w:t>
      </w:r>
    </w:p>
    <w:p w:rsidR="00A535DD" w:rsidRPr="00FC19DF" w:rsidRDefault="00FC19DF" w:rsidP="00FC19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Положение определяет порядок работы Комиссии по распределению стимулирующей </w:t>
      </w:r>
      <w:proofErr w:type="gramStart"/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части фонда оплаты труда работников Муниципального 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>бюджетного дошкольного образовательного учреждения</w:t>
      </w:r>
      <w:proofErr w:type="gramEnd"/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 детский сад «</w:t>
      </w:r>
      <w:proofErr w:type="spellStart"/>
      <w:r w:rsidR="00A535DD" w:rsidRPr="00FC19DF">
        <w:rPr>
          <w:rFonts w:ascii="Times New Roman" w:eastAsia="Calibri" w:hAnsi="Times New Roman" w:cs="Times New Roman"/>
          <w:sz w:val="26"/>
          <w:szCs w:val="26"/>
        </w:rPr>
        <w:t>Золотинка</w:t>
      </w:r>
      <w:proofErr w:type="spellEnd"/>
      <w:r w:rsidR="00A535DD" w:rsidRPr="00FC19DF">
        <w:rPr>
          <w:rFonts w:ascii="Times New Roman" w:eastAsia="Calibri" w:hAnsi="Times New Roman" w:cs="Times New Roman"/>
          <w:sz w:val="26"/>
          <w:szCs w:val="26"/>
        </w:rPr>
        <w:t>»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 (далее ДОУ).</w:t>
      </w:r>
    </w:p>
    <w:p w:rsidR="00C974C5" w:rsidRPr="00FC19DF" w:rsidRDefault="00FC19DF" w:rsidP="00FC19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 xml:space="preserve">Комиссия является коллегиальным совещательным органом. </w:t>
      </w:r>
    </w:p>
    <w:p w:rsidR="00A535DD" w:rsidRPr="00FC19DF" w:rsidRDefault="00FC19DF" w:rsidP="00FC19D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>Целью  деятельности Комиссии является распределение стимулирующих выплат в соответствии с критериями оценки качества труда.</w:t>
      </w:r>
    </w:p>
    <w:p w:rsidR="00A535DD" w:rsidRPr="00FC19DF" w:rsidRDefault="00FC19DF" w:rsidP="00FC19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</w:t>
      </w:r>
      <w:r w:rsidR="00A535DD" w:rsidRPr="00FC19DF">
        <w:rPr>
          <w:rFonts w:ascii="Times New Roman" w:eastAsia="Calibri" w:hAnsi="Times New Roman" w:cs="Times New Roman"/>
          <w:sz w:val="26"/>
          <w:szCs w:val="26"/>
        </w:rPr>
        <w:t>Основные принципы деятельности Комиссии</w:t>
      </w:r>
      <w:r w:rsidR="00A535DD" w:rsidRPr="00FC19DF">
        <w:rPr>
          <w:rFonts w:ascii="Times New Roman" w:hAnsi="Times New Roman" w:cs="Times New Roman"/>
          <w:sz w:val="26"/>
          <w:szCs w:val="26"/>
        </w:rPr>
        <w:t>:</w:t>
      </w:r>
      <w:r w:rsidR="00A535DD" w:rsidRPr="00FC19DF">
        <w:rPr>
          <w:rFonts w:ascii="Times New Roman" w:hAnsi="Times New Roman" w:cs="Times New Roman"/>
          <w:sz w:val="26"/>
          <w:szCs w:val="26"/>
        </w:rPr>
        <w:t xml:space="preserve"> </w:t>
      </w:r>
      <w:r w:rsidR="00A535DD" w:rsidRPr="00FC19DF">
        <w:rPr>
          <w:rFonts w:ascii="Times New Roman" w:hAnsi="Times New Roman" w:cs="Times New Roman"/>
          <w:sz w:val="26"/>
          <w:szCs w:val="26"/>
        </w:rPr>
        <w:t>Открытость и коллегиальность, обеспечивающие объективное отношение к работникам ДОУ, при распределении стимулирующей части фонда оплаты труда.</w:t>
      </w:r>
      <w:bookmarkStart w:id="0" w:name="_GoBack"/>
      <w:bookmarkEnd w:id="0"/>
    </w:p>
    <w:p w:rsidR="00ED19C9" w:rsidRPr="00FC19DF" w:rsidRDefault="00ED19C9" w:rsidP="00ED19C9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" w:name="bookmark2"/>
    </w:p>
    <w:p w:rsidR="00ED19C9" w:rsidRPr="00ED19C9" w:rsidRDefault="00ED19C9" w:rsidP="00ED19C9">
      <w:pPr>
        <w:pStyle w:val="a3"/>
        <w:ind w:left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2.</w:t>
      </w:r>
      <w:r w:rsidRPr="00ED19C9">
        <w:rPr>
          <w:b/>
          <w:bCs/>
          <w:sz w:val="28"/>
          <w:szCs w:val="28"/>
          <w:lang w:bidi="ru-RU"/>
        </w:rPr>
        <w:t>Функции</w:t>
      </w:r>
      <w:r w:rsidR="00A70931">
        <w:rPr>
          <w:b/>
          <w:bCs/>
          <w:sz w:val="28"/>
          <w:szCs w:val="28"/>
          <w:lang w:bidi="ru-RU"/>
        </w:rPr>
        <w:t xml:space="preserve"> экспертной</w:t>
      </w:r>
      <w:r w:rsidRPr="00ED19C9">
        <w:rPr>
          <w:b/>
          <w:bCs/>
          <w:sz w:val="28"/>
          <w:szCs w:val="28"/>
          <w:lang w:bidi="ru-RU"/>
        </w:rPr>
        <w:t xml:space="preserve"> Комиссии</w:t>
      </w:r>
      <w:bookmarkEnd w:id="1"/>
    </w:p>
    <w:p w:rsidR="00ED19C9" w:rsidRPr="00ED19C9" w:rsidRDefault="00ED19C9" w:rsidP="00ED19C9">
      <w:pPr>
        <w:pStyle w:val="a3"/>
        <w:jc w:val="both"/>
        <w:rPr>
          <w:b/>
          <w:bCs/>
          <w:sz w:val="26"/>
          <w:szCs w:val="26"/>
          <w:lang w:bidi="ru-RU"/>
        </w:rPr>
      </w:pPr>
    </w:p>
    <w:p w:rsidR="00ED19C9" w:rsidRPr="00ED19C9" w:rsidRDefault="00ED19C9" w:rsidP="00ED19C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Комиссия осуществляет следующие основные функции: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Экспертиза представленных работниками образовательного учреждения оценочных листов по выполнению критериев и показателей за соответствующий период.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В пределах своей компетенции запрашивает у администрации дополнительную информацию, подтверждающую или опровергающую результаты самоанализа работника учреждения;</w:t>
      </w:r>
    </w:p>
    <w:p w:rsidR="00ED19C9" w:rsidRPr="00ED19C9" w:rsidRDefault="00ED19C9" w:rsidP="00ED1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Обеспечивает объективность принимаемых решений;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-Оформляет принятое решение протоколом, который подписывает председатель экспертной комиссии, секретарь.</w:t>
      </w:r>
    </w:p>
    <w:p w:rsidR="00ED19C9" w:rsidRPr="00ED19C9" w:rsidRDefault="00ED19C9" w:rsidP="00ED1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7A1592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ринятие решений о соответствии деятельности работника требованиям к установлению размера выплата или отказе в установлении выплаты.</w:t>
      </w:r>
    </w:p>
    <w:p w:rsidR="00ED19C9" w:rsidRDefault="00ED19C9" w:rsidP="00ED1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Конкретный размер выплат из стимулирующей части ФОТ каждому работнику оформляется приказом заведующего  ДОУ (выражено в баллах).</w:t>
      </w:r>
    </w:p>
    <w:p w:rsidR="00ED19C9" w:rsidRDefault="00ED19C9" w:rsidP="00ED19C9">
      <w:pPr>
        <w:pStyle w:val="a3"/>
        <w:ind w:left="0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D19C9" w:rsidRDefault="00ED19C9" w:rsidP="00ED19C9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D19C9" w:rsidRDefault="00ED19C9" w:rsidP="00ED19C9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D19C9" w:rsidRPr="007A1592" w:rsidRDefault="00ED19C9" w:rsidP="007A159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b/>
          <w:sz w:val="26"/>
          <w:szCs w:val="26"/>
          <w:lang w:bidi="ru-RU"/>
        </w:rPr>
        <w:t>Состав и регламент экспертной Комиссии</w:t>
      </w:r>
    </w:p>
    <w:p w:rsidR="00ED19C9" w:rsidRPr="007A1592" w:rsidRDefault="007A1592" w:rsidP="007A1592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3.1.</w:t>
      </w:r>
      <w:r w:rsidR="00ED19C9" w:rsidRPr="007A1592">
        <w:rPr>
          <w:rFonts w:ascii="Times New Roman" w:hAnsi="Times New Roman" w:cs="Times New Roman"/>
          <w:sz w:val="26"/>
          <w:szCs w:val="26"/>
          <w:lang w:bidi="ru-RU"/>
        </w:rPr>
        <w:t>Комиссия избирается в составе 5 человек: председатель профсоюзной организации, 4 члена трудового коллектива. Руководитель дошкольного учреждения в состав комиссии не входит, но может присутствовать на ее заседаниях без права решающего голоса. Все представители избираются на общем собрании трудового коллектива детского сада простым большинством голосов из наиболее опытных и пользующихся авторитетом педагогов, членов трудового коллектива, родителей и утверждается приказом руководителя.</w:t>
      </w:r>
    </w:p>
    <w:p w:rsidR="00ED19C9" w:rsidRPr="007A1592" w:rsidRDefault="007A1592" w:rsidP="007A1592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3.2.</w:t>
      </w:r>
      <w:r w:rsidR="00ED19C9" w:rsidRPr="007A1592">
        <w:rPr>
          <w:rFonts w:ascii="Times New Roman" w:hAnsi="Times New Roman" w:cs="Times New Roman"/>
          <w:sz w:val="26"/>
          <w:szCs w:val="26"/>
          <w:lang w:bidi="ru-RU"/>
        </w:rPr>
        <w:t>Персональный состав Комиссии и регламент её работы утверждается приказом заведующего ДОУ.</w:t>
      </w:r>
    </w:p>
    <w:p w:rsidR="00ED19C9" w:rsidRPr="007A1592" w:rsidRDefault="007A1592" w:rsidP="007A1592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3.3.</w:t>
      </w:r>
      <w:r w:rsidR="00ED19C9" w:rsidRPr="007A1592">
        <w:rPr>
          <w:rFonts w:ascii="Times New Roman" w:hAnsi="Times New Roman" w:cs="Times New Roman"/>
          <w:sz w:val="26"/>
          <w:szCs w:val="26"/>
          <w:lang w:bidi="ru-RU"/>
        </w:rPr>
        <w:t>Работу Комиссии осуществляет председатель, который избирается членами экспертной Комиссии на первом заседании.</w:t>
      </w:r>
    </w:p>
    <w:p w:rsidR="00ED19C9" w:rsidRPr="007A1592" w:rsidRDefault="007A1592" w:rsidP="007A1592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3.4.</w:t>
      </w:r>
      <w:r w:rsidR="00ED19C9" w:rsidRPr="007A1592">
        <w:rPr>
          <w:rFonts w:ascii="Times New Roman" w:hAnsi="Times New Roman" w:cs="Times New Roman"/>
          <w:sz w:val="26"/>
          <w:szCs w:val="26"/>
          <w:lang w:bidi="ru-RU"/>
        </w:rPr>
        <w:t>Председатель Комиссии:</w:t>
      </w:r>
    </w:p>
    <w:p w:rsidR="00ED19C9" w:rsidRPr="00ED19C9" w:rsidRDefault="00ED19C9" w:rsidP="00ED1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Руководит деятельностью Комиссии и планирует ее работу.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Председательствует на общих заседаниях Комиссии.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Подписывает протоколы совместно с секретарем.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При необходимости передает протоколы на доработку заведующей ДОУ.</w:t>
      </w:r>
    </w:p>
    <w:p w:rsidR="00ED19C9" w:rsidRPr="00ED19C9" w:rsidRDefault="00ED19C9" w:rsidP="00ED19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Члены Комиссии осуществляют свою деятельность безвозмездно на общественных началах.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3.5.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Комиссия является коллегиальным органом и принимает решение в рамках своей компетенции по установлению, регулярных и разовых (непредвиденных) выплат.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3.6.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Заседания экспертной комиссии проводятся один раз в месяц с 25 по 28 число текущего месяца.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3.7.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Заседание Комиссии может быть инициировано председателем Комиссии или руководителем учреждения.</w:t>
      </w:r>
    </w:p>
    <w:p w:rsidR="00ED19C9" w:rsidRPr="00ED19C9" w:rsidRDefault="00ED19C9" w:rsidP="00ED19C9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3.8.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 xml:space="preserve">Заседание Комиссии считается правомочным, если на нем присутствуют не менее 2/3 ее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 </w:t>
      </w:r>
    </w:p>
    <w:p w:rsidR="00ED19C9" w:rsidRPr="00ED19C9" w:rsidRDefault="00ED19C9" w:rsidP="00ED19C9">
      <w:pPr>
        <w:pStyle w:val="a3"/>
        <w:rPr>
          <w:rFonts w:ascii="Times New Roman" w:hAnsi="Times New Roman" w:cs="Times New Roman"/>
          <w:sz w:val="26"/>
          <w:szCs w:val="26"/>
          <w:lang w:bidi="ru-RU"/>
        </w:rPr>
      </w:pPr>
    </w:p>
    <w:p w:rsidR="00ED19C9" w:rsidRPr="00ED19C9" w:rsidRDefault="00ED19C9" w:rsidP="00CC36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b/>
          <w:sz w:val="26"/>
          <w:szCs w:val="26"/>
          <w:lang w:bidi="ru-RU"/>
        </w:rPr>
        <w:t>Права и обязанности экспертной Комиссии</w:t>
      </w:r>
    </w:p>
    <w:p w:rsidR="00ED19C9" w:rsidRPr="00ED19C9" w:rsidRDefault="00ED19C9" w:rsidP="00CC361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D19C9" w:rsidRPr="00CC361E" w:rsidRDefault="00ED19C9" w:rsidP="00CC361E">
      <w:pPr>
        <w:pStyle w:val="a3"/>
        <w:numPr>
          <w:ilvl w:val="1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C361E">
        <w:rPr>
          <w:rFonts w:ascii="Times New Roman" w:hAnsi="Times New Roman" w:cs="Times New Roman"/>
          <w:sz w:val="26"/>
          <w:szCs w:val="26"/>
          <w:lang w:bidi="ru-RU"/>
        </w:rPr>
        <w:t>Комиссия имеет право:</w:t>
      </w:r>
    </w:p>
    <w:p w:rsidR="00ED19C9" w:rsidRPr="00ED19C9" w:rsidRDefault="00ED19C9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Запрашивать от работников ДОУ необходимые для работы сведения.</w:t>
      </w:r>
    </w:p>
    <w:p w:rsidR="00ED19C9" w:rsidRPr="00ED19C9" w:rsidRDefault="00ED19C9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 Определять порядок работы Комиссии.</w:t>
      </w:r>
    </w:p>
    <w:p w:rsidR="00ED19C9" w:rsidRPr="00ED19C9" w:rsidRDefault="00ED19C9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D19C9">
        <w:rPr>
          <w:rFonts w:ascii="Times New Roman" w:hAnsi="Times New Roman" w:cs="Times New Roman"/>
          <w:sz w:val="26"/>
          <w:szCs w:val="26"/>
          <w:lang w:bidi="ru-RU"/>
        </w:rPr>
        <w:t>-  Вносить предложения по порядку работы Комиссии.</w:t>
      </w:r>
    </w:p>
    <w:p w:rsidR="00ED19C9" w:rsidRPr="00ED19C9" w:rsidRDefault="00ED19C9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ED19C9">
        <w:rPr>
          <w:rFonts w:ascii="Times New Roman" w:hAnsi="Times New Roman" w:cs="Times New Roman"/>
          <w:sz w:val="26"/>
          <w:szCs w:val="26"/>
          <w:lang w:bidi="ru-RU"/>
        </w:rPr>
        <w:t>Требовать постановки своих предложений на голосование.</w:t>
      </w:r>
    </w:p>
    <w:p w:rsidR="00ED19C9" w:rsidRPr="00CC361E" w:rsidRDefault="00CC361E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4.2.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Обязанности членов Комиссии:</w:t>
      </w:r>
    </w:p>
    <w:p w:rsidR="00ED19C9" w:rsidRPr="00CC361E" w:rsidRDefault="00CC361E" w:rsidP="00CC361E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Соблюдать регламент работы Комиссии.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Выполнять поручения, данные председателем Комиссии.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Предварительно изучать принятые документы и представлять их на утверждение.</w:t>
      </w:r>
    </w:p>
    <w:p w:rsid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Обеспечивать объективность принятия решений.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Комиссия и ее члены несут персональную ответственность за объективную и качественную подготовку экспертных заключений.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Члены Комиссии не имеют права распространять в любой форме информацию, ставшую доступной им как членам экспертной комиссии до принятия окончательного решения заведующей образовательным учреждением.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4.3.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В случае невозможности прибыть на заседание член Комиссии уведомляет об этом председателя не позднее, чем за 2 дня до проведения заседания.</w:t>
      </w:r>
    </w:p>
    <w:p w:rsidR="00ED19C9" w:rsidRPr="00CC361E" w:rsidRDefault="00ED19C9" w:rsidP="00A70931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C361E">
        <w:rPr>
          <w:rFonts w:ascii="Times New Roman" w:hAnsi="Times New Roman" w:cs="Times New Roman"/>
          <w:sz w:val="26"/>
          <w:szCs w:val="26"/>
          <w:lang w:bidi="ru-RU"/>
        </w:rPr>
        <w:t>Заседания экспертной Комиссии оформляются протоколами, которые подписываются председателем и секретарем экспертной Комиссии.</w:t>
      </w:r>
    </w:p>
    <w:p w:rsidR="00ED19C9" w:rsidRPr="00ED19C9" w:rsidRDefault="00ED19C9" w:rsidP="00A70931">
      <w:pPr>
        <w:pStyle w:val="a3"/>
        <w:spacing w:after="0"/>
        <w:rPr>
          <w:rFonts w:ascii="Times New Roman" w:hAnsi="Times New Roman" w:cs="Times New Roman"/>
          <w:sz w:val="26"/>
          <w:szCs w:val="26"/>
          <w:lang w:bidi="ru-RU"/>
        </w:rPr>
      </w:pPr>
    </w:p>
    <w:p w:rsidR="00ED19C9" w:rsidRPr="00ED19C9" w:rsidRDefault="00ED19C9" w:rsidP="00A70931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bookmarkStart w:id="2" w:name="bookmark3"/>
      <w:r w:rsidRPr="00ED19C9">
        <w:rPr>
          <w:rFonts w:ascii="Times New Roman" w:hAnsi="Times New Roman" w:cs="Times New Roman"/>
          <w:b/>
          <w:sz w:val="26"/>
          <w:szCs w:val="26"/>
          <w:lang w:bidi="ru-RU"/>
        </w:rPr>
        <w:t>Процедура представления Комиссией экспертных материалов</w:t>
      </w:r>
      <w:bookmarkEnd w:id="2"/>
    </w:p>
    <w:p w:rsidR="00ED19C9" w:rsidRPr="00ED19C9" w:rsidRDefault="00ED19C9" w:rsidP="00A70931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5.1.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Работники ДОУ представляют на зас</w:t>
      </w:r>
      <w:r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едание Комиссии оценочные листы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показателях их деятельности, являющихся основанием для выплаты работникам стимулирующих выплат.</w:t>
      </w:r>
    </w:p>
    <w:p w:rsidR="0001129A" w:rsidRPr="0001129A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5.2.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Комиссия рассматривает оценочные листы утвержденной формы по каждому работнику. На основе результатов оценочных листов составляется сводный (итоговый) оценочный лист в баллах оценки.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Заседание Комиссии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оформляется 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протокол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ом, который подписывают все члены </w:t>
      </w:r>
      <w:proofErr w:type="gramStart"/>
      <w:r w:rsidR="0001129A">
        <w:rPr>
          <w:rFonts w:ascii="Times New Roman" w:hAnsi="Times New Roman" w:cs="Times New Roman"/>
          <w:sz w:val="26"/>
          <w:szCs w:val="26"/>
          <w:lang w:bidi="ru-RU"/>
        </w:rPr>
        <w:t>Комиссии</w:t>
      </w:r>
      <w:proofErr w:type="gramEnd"/>
      <w:r w:rsidR="0001129A">
        <w:rPr>
          <w:rFonts w:ascii="Times New Roman" w:hAnsi="Times New Roman" w:cs="Times New Roman"/>
          <w:sz w:val="26"/>
          <w:szCs w:val="26"/>
          <w:lang w:bidi="ru-RU"/>
        </w:rPr>
        <w:t xml:space="preserve"> и </w:t>
      </w:r>
      <w:r w:rsidR="0001129A"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доводится  для ознакомления  под роспись педагогам.</w:t>
      </w:r>
    </w:p>
    <w:p w:rsidR="00ED19C9" w:rsidRPr="00CC361E" w:rsidRDefault="00CC361E" w:rsidP="00A70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Протоколы хранятся у секретаря.</w:t>
      </w:r>
      <w:r w:rsidR="0001129A" w:rsidRPr="0001129A">
        <w:t xml:space="preserve"> </w:t>
      </w:r>
      <w:r w:rsidR="0001129A" w:rsidRPr="0001129A">
        <w:rPr>
          <w:rFonts w:ascii="Times New Roman" w:hAnsi="Times New Roman" w:cs="Times New Roman"/>
          <w:sz w:val="26"/>
          <w:szCs w:val="26"/>
          <w:lang w:bidi="ru-RU"/>
        </w:rPr>
        <w:t>Они доступны для ознакомления всем участника</w:t>
      </w:r>
      <w:r w:rsidR="0001129A"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="0001129A"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образовательного процесса ДОУ.</w:t>
      </w:r>
    </w:p>
    <w:p w:rsidR="00ED19C9" w:rsidRPr="00CC361E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5.3.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Сводный оценочный ли</w:t>
      </w:r>
      <w:proofErr w:type="gramStart"/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ст с кр</w:t>
      </w:r>
      <w:proofErr w:type="gramEnd"/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итериями и показателями результативности эффективности работы работника ДОУ на установление стимулирующих выплат соответствующий период передается на утверждение заведующему ДОУ.</w:t>
      </w:r>
    </w:p>
    <w:p w:rsidR="00CB510C" w:rsidRDefault="00CC361E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5.4.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>Заведующий ДОУ рассматривает об</w:t>
      </w:r>
      <w:r w:rsidR="00CB510C">
        <w:rPr>
          <w:rFonts w:ascii="Times New Roman" w:hAnsi="Times New Roman" w:cs="Times New Roman"/>
          <w:sz w:val="26"/>
          <w:szCs w:val="26"/>
          <w:lang w:bidi="ru-RU"/>
        </w:rPr>
        <w:t>ъективность заполнения сводного оценочного листа,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 утверждает решение Комиссии, путем издания приказа по</w:t>
      </w:r>
      <w:r w:rsidR="00CB510C">
        <w:rPr>
          <w:rFonts w:ascii="Times New Roman" w:hAnsi="Times New Roman" w:cs="Times New Roman"/>
          <w:sz w:val="26"/>
          <w:szCs w:val="26"/>
          <w:lang w:bidi="ru-RU"/>
        </w:rPr>
        <w:t xml:space="preserve"> ДОУ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, в котором указываются </w:t>
      </w:r>
      <w:r w:rsidR="00CB510C">
        <w:rPr>
          <w:rFonts w:ascii="Times New Roman" w:hAnsi="Times New Roman" w:cs="Times New Roman"/>
          <w:sz w:val="26"/>
          <w:szCs w:val="26"/>
          <w:lang w:bidi="ru-RU"/>
        </w:rPr>
        <w:t>баллы и итоговая сумма размера</w:t>
      </w:r>
      <w:r w:rsidR="00ED19C9" w:rsidRPr="00CC361E">
        <w:rPr>
          <w:rFonts w:ascii="Times New Roman" w:hAnsi="Times New Roman" w:cs="Times New Roman"/>
          <w:sz w:val="26"/>
          <w:szCs w:val="26"/>
          <w:lang w:bidi="ru-RU"/>
        </w:rPr>
        <w:t xml:space="preserve"> стимулирующих выплат на установленный период</w:t>
      </w:r>
      <w:bookmarkStart w:id="3" w:name="bookmark4"/>
      <w:r w:rsidR="00CB510C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01129A" w:rsidRPr="0001129A" w:rsidRDefault="00CB510C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5.5.</w:t>
      </w:r>
      <w:r w:rsidR="0001129A" w:rsidRPr="0001129A">
        <w:rPr>
          <w:rFonts w:ascii="Times New Roman" w:hAnsi="Times New Roman" w:cs="Times New Roman"/>
          <w:sz w:val="26"/>
          <w:szCs w:val="26"/>
          <w:lang w:bidi="ru-RU"/>
        </w:rPr>
        <w:t>Денежный вес (в рублях) каждого балла определяется путём деления оставшейся суммы стимулирующей части фонда оплаты труда (ФОТ) на сумму баллов всех работников.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>Расчет стоимости балла производится по формуле: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S = ФОТ </w:t>
      </w:r>
      <w:proofErr w:type="spellStart"/>
      <w:proofErr w:type="gram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ст</w:t>
      </w:r>
      <w:proofErr w:type="spellEnd"/>
      <w:proofErr w:type="gram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/ (N1 + N2 + N3 + </w:t>
      </w:r>
      <w:proofErr w:type="spell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Nn</w:t>
      </w:r>
      <w:proofErr w:type="spell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), где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>S - стоимость одного балла;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ФОТ </w:t>
      </w:r>
      <w:proofErr w:type="spellStart"/>
      <w:proofErr w:type="gram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ст</w:t>
      </w:r>
      <w:proofErr w:type="spellEnd"/>
      <w:proofErr w:type="gram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- сумма от стимулирующей части фонда оплаты труда;</w:t>
      </w:r>
    </w:p>
    <w:p w:rsid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>N1,N2, ...</w:t>
      </w:r>
      <w:proofErr w:type="spell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Nn</w:t>
      </w:r>
      <w:proofErr w:type="spell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- количество баллов;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>Расчет плановой стоимости одного балла для педагогических работников производиться математическим путем: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Сумма стимулирующего фонда, направляемая на ежемесячные выплаты за интенсивность,  результативность и качества труда педагогических работников, за 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lastRenderedPageBreak/>
        <w:t>вычетом постоянных стимулирующих выплат и разовых стимулирующих премиальных выплат для педагогических работников делится на общее количество итоговых баллов.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>По итогам данного расчета устанавливается стоимость одного балла.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>Расчет стоимости балла производится по формуле: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S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= ФОТ </w:t>
      </w:r>
      <w:proofErr w:type="spell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ст</w:t>
      </w:r>
      <w:proofErr w:type="spell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/ (</w:t>
      </w: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1*1 + </w:t>
      </w: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2*7 + </w:t>
      </w: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>3*6), где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S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- </w:t>
      </w:r>
      <w:proofErr w:type="gram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стоимость</w:t>
      </w:r>
      <w:proofErr w:type="gram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одного балла;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ФОТ </w:t>
      </w:r>
      <w:proofErr w:type="spellStart"/>
      <w:proofErr w:type="gram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ст</w:t>
      </w:r>
      <w:proofErr w:type="spellEnd"/>
      <w:proofErr w:type="gram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- сумма от стимулирующей части фонда оплаты труда;</w:t>
      </w: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>1</w:t>
      </w:r>
      <w:proofErr w:type="gramStart"/>
      <w:r w:rsidRPr="0001129A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>2</w:t>
      </w:r>
      <w:proofErr w:type="gramEnd"/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,  </w:t>
      </w:r>
      <w:r w:rsidRPr="0001129A">
        <w:rPr>
          <w:rFonts w:ascii="Times New Roman" w:hAnsi="Times New Roman" w:cs="Times New Roman"/>
          <w:sz w:val="26"/>
          <w:szCs w:val="26"/>
          <w:lang w:val="en-US" w:bidi="ru-RU"/>
        </w:rPr>
        <w:t>N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>3- количество итоговых баллов умножается на количество педагогов;</w:t>
      </w:r>
    </w:p>
    <w:p w:rsidR="0001129A" w:rsidRPr="0001129A" w:rsidRDefault="0001129A" w:rsidP="00A70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Исходя из количества набранных баллов, производиться расчет стимулирующих выплат путем умножения стоимости одного балла на количество набранных баллов в оценочном листе.</w:t>
      </w:r>
    </w:p>
    <w:p w:rsid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1129A" w:rsidRPr="0001129A" w:rsidRDefault="0001129A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5.6.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С м</w:t>
      </w:r>
      <w:r>
        <w:rPr>
          <w:rFonts w:ascii="Times New Roman" w:hAnsi="Times New Roman" w:cs="Times New Roman"/>
          <w:sz w:val="26"/>
          <w:szCs w:val="26"/>
          <w:lang w:bidi="ru-RU"/>
        </w:rPr>
        <w:t>омента ознакомления с решением К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омиссии (оценочным </w:t>
      </w:r>
      <w:r>
        <w:rPr>
          <w:rFonts w:ascii="Times New Roman" w:hAnsi="Times New Roman" w:cs="Times New Roman"/>
          <w:sz w:val="26"/>
          <w:szCs w:val="26"/>
          <w:lang w:bidi="ru-RU"/>
        </w:rPr>
        <w:t>листом) в течени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2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дней  работники вправе подать, а комиссии обязана принять обоснованное письменное заявление работника ДОУ о его несогласии с оценкой результативности его профессиональной деятельности. Комиссия обязана проверить обоснованность заявления работника и дать ему аргументированный ответ в письменном виде по </w:t>
      </w:r>
      <w:r>
        <w:rPr>
          <w:rFonts w:ascii="Times New Roman" w:hAnsi="Times New Roman" w:cs="Times New Roman"/>
          <w:sz w:val="26"/>
          <w:szCs w:val="26"/>
          <w:lang w:bidi="ru-RU"/>
        </w:rPr>
        <w:t>результатам проверки в течение 2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дней после принятия заявления работника. В случае установления в ходе проверки факт ошибочный оценки листе, комиссии принимает меры для исправления допущенного ошибочного оценивания.</w:t>
      </w:r>
    </w:p>
    <w:p w:rsidR="00CB510C" w:rsidRDefault="00CB510C" w:rsidP="00A70931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bookmarkEnd w:id="3"/>
    <w:p w:rsidR="00A70931" w:rsidRPr="00A70931" w:rsidRDefault="00A70931" w:rsidP="00A70931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A709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Делопроизводство</w:t>
      </w:r>
    </w:p>
    <w:p w:rsidR="00A70931" w:rsidRPr="00A70931" w:rsidRDefault="00A70931" w:rsidP="00A70931">
      <w:pPr>
        <w:shd w:val="clear" w:color="auto" w:fill="FFFFFF"/>
        <w:spacing w:after="0" w:line="240" w:lineRule="atLeast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0931" w:rsidRPr="00A70931" w:rsidRDefault="00A70931" w:rsidP="00A70931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>.1.Нумерация протоколов ведется от начала учебного года.</w:t>
      </w:r>
    </w:p>
    <w:p w:rsidR="00A70931" w:rsidRPr="00A70931" w:rsidRDefault="00A70931" w:rsidP="00A70931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>.2.Протоколы комиссии  нумеруются, прошиваются, и  скрепляются подписью заведую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щего и печатью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ДО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>У.</w:t>
      </w:r>
    </w:p>
    <w:p w:rsidR="00A70931" w:rsidRPr="00A70931" w:rsidRDefault="00A70931" w:rsidP="00A70931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Протоколы комиссии и  индивидуальные карты работников для определения размера стимулирующих выплат хранятся в делах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ДОУ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3лет</w:t>
      </w:r>
      <w:r w:rsidRPr="00A709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A70931" w:rsidRPr="00A70931" w:rsidRDefault="00A70931" w:rsidP="00A709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0931" w:rsidRPr="00A70931" w:rsidRDefault="00A70931" w:rsidP="00A70931">
      <w:pPr>
        <w:pStyle w:val="a3"/>
        <w:keepNext/>
        <w:numPr>
          <w:ilvl w:val="0"/>
          <w:numId w:val="9"/>
        </w:numPr>
        <w:spacing w:before="2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0931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A70931" w:rsidRPr="00A70931" w:rsidRDefault="00A70931" w:rsidP="00A709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Комиссия вправе пересмотреть критерии для оценивания качества и установления выплат стимулирующего характера по собственной инициативе или на основании предложений работников ДОУ не чаще </w:t>
      </w: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раз в год. Дополнения и изменения, вносимые комиссией, утверждаются на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Общем</w:t>
      </w:r>
      <w:r w:rsidRPr="0001129A">
        <w:rPr>
          <w:rFonts w:ascii="Times New Roman" w:hAnsi="Times New Roman" w:cs="Times New Roman"/>
          <w:sz w:val="26"/>
          <w:szCs w:val="26"/>
          <w:lang w:bidi="ru-RU"/>
        </w:rPr>
        <w:t xml:space="preserve"> собрании коллектива ДОУ.</w:t>
      </w:r>
    </w:p>
    <w:p w:rsidR="00A70931" w:rsidRPr="00A70931" w:rsidRDefault="00A70931" w:rsidP="00A7093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A70931">
        <w:rPr>
          <w:rFonts w:ascii="Times New Roman" w:eastAsia="Calibri" w:hAnsi="Times New Roman" w:cs="Times New Roman"/>
          <w:sz w:val="26"/>
          <w:szCs w:val="26"/>
        </w:rPr>
        <w:t>.2. Положение действует до принятия нового Положения, которое принимается на Общем собрании в установленном порядке.</w:t>
      </w:r>
    </w:p>
    <w:p w:rsidR="00A535DD" w:rsidRPr="00ED19C9" w:rsidRDefault="00A535DD" w:rsidP="00ED19C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535DD" w:rsidRPr="00ED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697"/>
    <w:multiLevelType w:val="multilevel"/>
    <w:tmpl w:val="B91040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57BC7"/>
    <w:multiLevelType w:val="multilevel"/>
    <w:tmpl w:val="9B0E0BB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60425"/>
    <w:multiLevelType w:val="multilevel"/>
    <w:tmpl w:val="81680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205339D"/>
    <w:multiLevelType w:val="multilevel"/>
    <w:tmpl w:val="348C6BA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>
    <w:nsid w:val="39815A29"/>
    <w:multiLevelType w:val="multilevel"/>
    <w:tmpl w:val="5B4CD9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805A4"/>
    <w:multiLevelType w:val="multilevel"/>
    <w:tmpl w:val="06903F6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5DE5E15"/>
    <w:multiLevelType w:val="multilevel"/>
    <w:tmpl w:val="4C862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9C2434"/>
    <w:multiLevelType w:val="multilevel"/>
    <w:tmpl w:val="29BC58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98786F"/>
    <w:multiLevelType w:val="multilevel"/>
    <w:tmpl w:val="F3D269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7A33C1"/>
    <w:multiLevelType w:val="multilevel"/>
    <w:tmpl w:val="95AC7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4E5409D"/>
    <w:multiLevelType w:val="multilevel"/>
    <w:tmpl w:val="00CABE9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2"/>
    <w:rsid w:val="0001129A"/>
    <w:rsid w:val="003E6552"/>
    <w:rsid w:val="007A1592"/>
    <w:rsid w:val="00A41613"/>
    <w:rsid w:val="00A535DD"/>
    <w:rsid w:val="00A70931"/>
    <w:rsid w:val="00C974C5"/>
    <w:rsid w:val="00CB510C"/>
    <w:rsid w:val="00CC361E"/>
    <w:rsid w:val="00DD16FA"/>
    <w:rsid w:val="00ED19C9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5DD"/>
    <w:pPr>
      <w:widowControl w:val="0"/>
      <w:shd w:val="clear" w:color="auto" w:fill="FFFFFF"/>
      <w:spacing w:before="60" w:after="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5DD"/>
    <w:pPr>
      <w:widowControl w:val="0"/>
      <w:shd w:val="clear" w:color="auto" w:fill="FFFFFF"/>
      <w:spacing w:before="60" w:after="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2018-11-19T09:12:00Z</dcterms:created>
  <dcterms:modified xsi:type="dcterms:W3CDTF">2018-11-19T09:14:00Z</dcterms:modified>
</cp:coreProperties>
</file>